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
      <w:bookmarkStart w:id="0" w:name="_GoBack"/>
      <w:bookmarkEnd w:id="0"/>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水政监察大队</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eastAsia" w:ascii="仿宋_GB2312" w:hAnsi="仿宋" w:eastAsia="仿宋_GB2312"/>
          <w:sz w:val="32"/>
          <w:szCs w:val="32"/>
        </w:rPr>
      </w:pPr>
      <w:r>
        <w:rPr>
          <w:rFonts w:hint="eastAsia" w:ascii="仿宋" w:hAnsi="仿宋" w:eastAsia="仿宋"/>
          <w:sz w:val="32"/>
        </w:rPr>
        <w:t xml:space="preserve">  </w:t>
      </w:r>
      <w:r>
        <w:rPr>
          <w:rFonts w:hint="eastAsia" w:ascii="仿宋_GB2312" w:hAnsi="仿宋" w:eastAsia="仿宋_GB2312"/>
          <w:sz w:val="32"/>
          <w:szCs w:val="32"/>
        </w:rPr>
        <w:t>1．主要职能。</w:t>
      </w:r>
      <w:r>
        <w:rPr>
          <w:rFonts w:hint="eastAsia" w:ascii="仿宋_GB2312" w:hAnsi="仿宋" w:eastAsia="仿宋_GB2312"/>
          <w:sz w:val="32"/>
          <w:szCs w:val="32"/>
          <w:lang w:eastAsia="zh-CN"/>
        </w:rPr>
        <w:t>依法对水事活动提供执法监察保障。水事执法监察工作规划计划拟定</w:t>
      </w:r>
      <w:r>
        <w:rPr>
          <w:rFonts w:hint="eastAsia" w:ascii="仿宋_GB2312" w:hAnsi="仿宋" w:eastAsia="仿宋_GB2312"/>
          <w:sz w:val="32"/>
          <w:szCs w:val="32"/>
          <w:lang w:val="en-US" w:eastAsia="zh-CN"/>
        </w:rPr>
        <w:t xml:space="preserve"> 规章制度拟定 标准规范拟定 组织水事应急监察  水事违法违规行为查处  水事器具安全监管执法监察业务经费管理 水事监察员资格管理   </w:t>
      </w:r>
    </w:p>
    <w:p>
      <w:r>
        <w:rPr>
          <w:rFonts w:hint="eastAsia"/>
          <w:sz w:val="32"/>
          <w:szCs w:val="32"/>
          <w:lang w:val="en-US" w:eastAsia="zh-CN"/>
        </w:rPr>
        <w:t xml:space="preserve">     </w:t>
      </w:r>
      <w:r>
        <w:rPr>
          <w:rFonts w:hint="eastAsia"/>
          <w:sz w:val="32"/>
          <w:szCs w:val="32"/>
        </w:rPr>
        <w:t>二、机构设置</w:t>
      </w:r>
      <w:r>
        <w:t xml:space="preserve"> </w:t>
      </w:r>
    </w:p>
    <w:p>
      <w:pPr>
        <w:ind w:firstLine="640" w:firstLineChars="200"/>
        <w:rPr>
          <w:rFonts w:hint="eastAsia" w:ascii="仿宋" w:hAnsi="仿宋" w:eastAsia="仿宋" w:cs="仿宋"/>
          <w:sz w:val="32"/>
          <w:szCs w:val="32"/>
          <w:lang w:eastAsia="zh-CN"/>
        </w:rPr>
      </w:pPr>
      <w:r>
        <w:rPr>
          <w:rFonts w:hint="eastAsia"/>
          <w:lang w:val="en-US" w:eastAsia="zh-CN"/>
        </w:rPr>
        <w:t xml:space="preserve">    </w:t>
      </w:r>
      <w:r>
        <w:t xml:space="preserve"> </w:t>
      </w:r>
      <w:r>
        <w:rPr>
          <w:rFonts w:hint="eastAsia" w:ascii="仿宋" w:hAnsi="仿宋" w:eastAsia="仿宋" w:cs="仿宋"/>
        </w:rPr>
        <w:t xml:space="preserve"> </w:t>
      </w:r>
      <w:r>
        <w:rPr>
          <w:rFonts w:hint="eastAsia" w:ascii="仿宋" w:hAnsi="仿宋" w:eastAsia="仿宋" w:cs="仿宋"/>
          <w:sz w:val="32"/>
          <w:szCs w:val="32"/>
          <w:lang w:eastAsia="zh-CN"/>
        </w:rPr>
        <w:t>机构设置：</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梨树县水政监察大队（1）队长室 负责水政监察大队全面工作。</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梨树县水政监察大队（2）书记室 负责党务建立工作</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梨树县水政监察大队（3）财会室 负责财务工作</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梨树县水政监察大队（4）综合办公室协助队长工作</w:t>
      </w:r>
    </w:p>
    <w:p>
      <w:pPr>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根据上述职责，</w:t>
      </w:r>
      <w:r>
        <w:rPr>
          <w:rFonts w:hint="eastAsia" w:ascii="仿宋" w:hAnsi="仿宋" w:eastAsia="仿宋" w:cs="仿宋"/>
          <w:sz w:val="30"/>
          <w:szCs w:val="30"/>
          <w:lang w:eastAsia="zh-CN"/>
        </w:rPr>
        <w:t>梨树县水政监察大队为水利局</w:t>
      </w:r>
      <w:r>
        <w:rPr>
          <w:rFonts w:hint="eastAsia" w:ascii="仿宋" w:hAnsi="仿宋" w:eastAsia="仿宋" w:cs="仿宋"/>
          <w:sz w:val="30"/>
          <w:szCs w:val="30"/>
        </w:rPr>
        <w:t xml:space="preserve">内设 </w:t>
      </w:r>
      <w:r>
        <w:rPr>
          <w:rFonts w:hint="eastAsia" w:ascii="仿宋" w:hAnsi="仿宋" w:eastAsia="仿宋" w:cs="仿宋"/>
          <w:sz w:val="30"/>
          <w:szCs w:val="30"/>
          <w:lang w:val="en-US" w:eastAsia="zh-CN"/>
        </w:rPr>
        <w:t>1</w:t>
      </w:r>
      <w:r>
        <w:rPr>
          <w:rFonts w:hint="eastAsia" w:ascii="仿宋" w:hAnsi="仿宋" w:eastAsia="仿宋" w:cs="仿宋"/>
          <w:sz w:val="30"/>
          <w:szCs w:val="30"/>
        </w:rPr>
        <w:t xml:space="preserve"> 个机构</w:t>
      </w:r>
      <w:r>
        <w:rPr>
          <w:rFonts w:hint="eastAsia" w:ascii="仿宋" w:hAnsi="仿宋" w:eastAsia="仿宋" w:cs="仿宋"/>
          <w:sz w:val="30"/>
          <w:szCs w:val="30"/>
          <w:lang w:eastAsia="zh-CN"/>
        </w:rPr>
        <w:t>。</w:t>
      </w:r>
    </w:p>
    <w:p>
      <w:pPr>
        <w:ind w:firstLine="640" w:firstLineChars="200"/>
        <w:rPr>
          <w:rFonts w:hint="eastAsia" w:ascii="仿宋" w:hAnsi="仿宋" w:eastAsia="仿宋" w:cs="仿宋"/>
          <w:sz w:val="30"/>
          <w:szCs w:val="30"/>
        </w:rPr>
      </w:pPr>
      <w:r>
        <w:rPr>
          <w:rFonts w:hint="eastAsia" w:ascii="仿宋" w:hAnsi="仿宋" w:eastAsia="仿宋" w:cs="仿宋"/>
          <w:sz w:val="30"/>
          <w:szCs w:val="30"/>
          <w:lang w:eastAsia="zh-CN"/>
        </w:rPr>
        <w:t>水政监察大队</w:t>
      </w:r>
      <w:r>
        <w:rPr>
          <w:rFonts w:hint="eastAsia" w:ascii="仿宋" w:hAnsi="仿宋" w:eastAsia="仿宋" w:cs="仿宋"/>
          <w:sz w:val="30"/>
          <w:szCs w:val="30"/>
        </w:rPr>
        <w:t>纳入202</w:t>
      </w:r>
      <w:r>
        <w:rPr>
          <w:rFonts w:hint="eastAsia" w:ascii="仿宋" w:hAnsi="仿宋" w:eastAsia="仿宋" w:cs="仿宋"/>
          <w:sz w:val="30"/>
          <w:szCs w:val="30"/>
          <w:lang w:val="en-US" w:eastAsia="zh-CN"/>
        </w:rPr>
        <w:t>1</w:t>
      </w:r>
      <w:r>
        <w:rPr>
          <w:rFonts w:hint="eastAsia" w:ascii="仿宋" w:hAnsi="仿宋" w:eastAsia="仿宋" w:cs="仿宋"/>
          <w:sz w:val="30"/>
          <w:szCs w:val="30"/>
        </w:rPr>
        <w:t>年度部门决算编制范围的单位</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161.51</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 xml:space="preserve">年预算增加    </w:t>
      </w:r>
      <w:r>
        <w:rPr>
          <w:rFonts w:hint="eastAsia" w:ascii="宋体"/>
          <w:sz w:val="32"/>
          <w:szCs w:val="32"/>
          <w:lang w:val="en-US" w:eastAsia="zh-CN"/>
        </w:rPr>
        <w:t>4.64</w:t>
      </w:r>
      <w:r>
        <w:rPr>
          <w:rFonts w:hint="eastAsia" w:ascii="宋体"/>
          <w:sz w:val="32"/>
          <w:szCs w:val="32"/>
        </w:rPr>
        <w:t xml:space="preserve"> 万元，主要原因是</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161.51</w:t>
      </w:r>
      <w:r>
        <w:rPr>
          <w:rFonts w:hint="eastAsia" w:ascii="宋体"/>
          <w:sz w:val="32"/>
          <w:szCs w:val="32"/>
        </w:rPr>
        <w:t xml:space="preserve">   万元，其中：本年收入    </w:t>
      </w:r>
      <w:r>
        <w:rPr>
          <w:rFonts w:hint="eastAsia" w:ascii="宋体"/>
          <w:sz w:val="32"/>
          <w:szCs w:val="32"/>
          <w:lang w:val="en-US" w:eastAsia="zh-CN"/>
        </w:rPr>
        <w:t>161.51</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161.51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eastAsia"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161.51</w:t>
      </w:r>
      <w:r>
        <w:rPr>
          <w:rFonts w:hint="eastAsia" w:ascii="宋体"/>
          <w:sz w:val="32"/>
          <w:szCs w:val="32"/>
        </w:rPr>
        <w:t xml:space="preserve"> 万元，其中：基本支出 </w:t>
      </w:r>
      <w:r>
        <w:rPr>
          <w:rFonts w:hint="eastAsia" w:ascii="宋体"/>
          <w:sz w:val="32"/>
          <w:szCs w:val="32"/>
          <w:lang w:val="en-US" w:eastAsia="zh-CN"/>
        </w:rPr>
        <w:t>161.51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161.51</w:t>
      </w:r>
      <w:r>
        <w:rPr>
          <w:rFonts w:hint="eastAsia" w:ascii="宋体"/>
          <w:sz w:val="32"/>
          <w:szCs w:val="32"/>
        </w:rPr>
        <w:t xml:space="preserve">   万元，其中：一般公共预算拨款    </w:t>
      </w:r>
      <w:r>
        <w:rPr>
          <w:rFonts w:hint="eastAsia" w:ascii="宋体"/>
          <w:sz w:val="32"/>
          <w:szCs w:val="32"/>
          <w:lang w:val="en-US" w:eastAsia="zh-CN"/>
        </w:rPr>
        <w:t>161.51</w:t>
      </w:r>
      <w:r>
        <w:rPr>
          <w:rFonts w:hint="eastAsia" w:ascii="宋体"/>
          <w:sz w:val="32"/>
          <w:szCs w:val="32"/>
        </w:rPr>
        <w:t xml:space="preserve">  万元。五、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161.51</w:t>
      </w:r>
      <w:r>
        <w:rPr>
          <w:rFonts w:hint="eastAsia" w:ascii="宋体"/>
          <w:sz w:val="32"/>
          <w:szCs w:val="32"/>
        </w:rPr>
        <w:t xml:space="preserve"> 万元，其中：基本支出   </w:t>
      </w:r>
      <w:r>
        <w:rPr>
          <w:rFonts w:hint="eastAsia" w:ascii="宋体"/>
          <w:sz w:val="32"/>
          <w:szCs w:val="32"/>
          <w:lang w:val="en-US" w:eastAsia="zh-CN"/>
        </w:rPr>
        <w:t>161.51</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val="en-US"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161.51</w:t>
      </w:r>
      <w:r>
        <w:rPr>
          <w:rFonts w:hint="eastAsia" w:ascii="宋体"/>
          <w:sz w:val="32"/>
          <w:szCs w:val="32"/>
        </w:rPr>
        <w:t xml:space="preserve">  万元，其中：人员经费    </w:t>
      </w:r>
      <w:r>
        <w:rPr>
          <w:rFonts w:hint="eastAsia" w:ascii="宋体"/>
          <w:sz w:val="32"/>
          <w:szCs w:val="32"/>
          <w:lang w:val="en-US" w:eastAsia="zh-CN"/>
        </w:rPr>
        <w:t>161.51</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方正小标宋简体">
    <w:altName w:val="微软雅黑"/>
    <w:panose1 w:val="02010601030101010101"/>
    <w:charset w:val="86"/>
    <w:family w:val="auto"/>
    <w:pitch w:val="default"/>
    <w:sig w:usb0="00000000"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等线">
    <w:altName w:val="宋体"/>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Cambria Math">
    <w:panose1 w:val="02040503050406030204"/>
    <w:charset w:val="00"/>
    <w:family w:val="auto"/>
    <w:pitch w:val="default"/>
    <w:sig w:usb0="E00002FF" w:usb1="42002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51502905">
    <w:nsid w:val="20DF4439"/>
    <w:multiLevelType w:val="multilevel"/>
    <w:tmpl w:val="20DF4439"/>
    <w:lvl w:ilvl="0" w:tentative="1">
      <w:start w:val="1"/>
      <w:numFmt w:val="japaneseCounting"/>
      <w:lvlText w:val="%1、"/>
      <w:lvlJc w:val="left"/>
      <w:pPr>
        <w:ind w:left="1350" w:hanging="720"/>
      </w:pPr>
      <w:rPr>
        <w:rFonts w:hint="default"/>
      </w:rPr>
    </w:lvl>
    <w:lvl w:ilvl="1" w:tentative="1">
      <w:start w:val="1"/>
      <w:numFmt w:val="lowerLetter"/>
      <w:lvlText w:val="%2)"/>
      <w:lvlJc w:val="left"/>
      <w:pPr>
        <w:ind w:left="1470" w:hanging="420"/>
      </w:pPr>
    </w:lvl>
    <w:lvl w:ilvl="2" w:tentative="1">
      <w:start w:val="1"/>
      <w:numFmt w:val="lowerRoman"/>
      <w:lvlText w:val="%3."/>
      <w:lvlJc w:val="right"/>
      <w:pPr>
        <w:ind w:left="1890" w:hanging="420"/>
      </w:pPr>
    </w:lvl>
    <w:lvl w:ilvl="3" w:tentative="1">
      <w:start w:val="1"/>
      <w:numFmt w:val="decimal"/>
      <w:lvlText w:val="%4."/>
      <w:lvlJc w:val="left"/>
      <w:pPr>
        <w:ind w:left="2310" w:hanging="420"/>
      </w:pPr>
    </w:lvl>
    <w:lvl w:ilvl="4" w:tentative="1">
      <w:start w:val="1"/>
      <w:numFmt w:val="lowerLetter"/>
      <w:lvlText w:val="%5)"/>
      <w:lvlJc w:val="left"/>
      <w:pPr>
        <w:ind w:left="2730" w:hanging="420"/>
      </w:pPr>
    </w:lvl>
    <w:lvl w:ilvl="5" w:tentative="1">
      <w:start w:val="1"/>
      <w:numFmt w:val="lowerRoman"/>
      <w:lvlText w:val="%6."/>
      <w:lvlJc w:val="right"/>
      <w:pPr>
        <w:ind w:left="3150" w:hanging="420"/>
      </w:pPr>
    </w:lvl>
    <w:lvl w:ilvl="6" w:tentative="1">
      <w:start w:val="1"/>
      <w:numFmt w:val="decimal"/>
      <w:lvlText w:val="%7."/>
      <w:lvlJc w:val="left"/>
      <w:pPr>
        <w:ind w:left="3570" w:hanging="420"/>
      </w:pPr>
    </w:lvl>
    <w:lvl w:ilvl="7" w:tentative="1">
      <w:start w:val="1"/>
      <w:numFmt w:val="lowerLetter"/>
      <w:lvlText w:val="%8)"/>
      <w:lvlJc w:val="left"/>
      <w:pPr>
        <w:ind w:left="3990" w:hanging="420"/>
      </w:pPr>
    </w:lvl>
    <w:lvl w:ilvl="8" w:tentative="1">
      <w:start w:val="1"/>
      <w:numFmt w:val="lowerRoman"/>
      <w:lvlText w:val="%9."/>
      <w:lvlJc w:val="right"/>
      <w:pPr>
        <w:ind w:left="4410" w:hanging="420"/>
      </w:pPr>
    </w:lvl>
  </w:abstractNum>
  <w:abstractNum w:abstractNumId="1556116819">
    <w:nsid w:val="5CC07553"/>
    <w:multiLevelType w:val="multilevel"/>
    <w:tmpl w:val="5CC07553"/>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abstractNum w:abstractNumId="410859225">
    <w:nsid w:val="187D36D9"/>
    <w:multiLevelType w:val="multilevel"/>
    <w:tmpl w:val="187D36D9"/>
    <w:lvl w:ilvl="0" w:tentative="1">
      <w:start w:val="1"/>
      <w:numFmt w:val="japaneseCounting"/>
      <w:lvlText w:val="%1、"/>
      <w:lvlJc w:val="left"/>
      <w:pPr>
        <w:ind w:left="720" w:hanging="720"/>
      </w:pPr>
      <w:rPr>
        <w:rFonts w:hint="default" w:cs="Times New Roman"/>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410859225"/>
  </w:num>
  <w:num w:numId="2">
    <w:abstractNumId w:val="1556116819"/>
  </w:num>
  <w:num w:numId="3">
    <w:abstractNumId w:val="5515029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link w:val="7"/>
    <w:semiHidden/>
    <w:unhideWhenUsed/>
    <w:uiPriority w:val="1"/>
    <w:rPr>
      <w:rFonts w:eastAsia="宋体"/>
      <w:sz w:val="21"/>
      <w:szCs w:val="20"/>
    </w:rPr>
  </w:style>
  <w:style w:type="paragraph" w:styleId="3">
    <w:name w:val="Date"/>
    <w:basedOn w:val="1"/>
    <w:next w:val="1"/>
    <w:link w:val="13"/>
    <w:semiHidden/>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uiPriority w:val="99"/>
    <w:pPr>
      <w:pBdr>
        <w:bottom w:val="single" w:color="auto" w:sz="6" w:space="1"/>
      </w:pBdr>
      <w:tabs>
        <w:tab w:val="center" w:pos="4153"/>
        <w:tab w:val="right" w:pos="8306"/>
      </w:tabs>
      <w:snapToGrid w:val="0"/>
      <w:jc w:val="center"/>
    </w:pPr>
    <w:rPr>
      <w:sz w:val="18"/>
      <w:szCs w:val="18"/>
    </w:rPr>
  </w:style>
  <w:style w:type="paragraph" w:customStyle="1" w:styleId="7">
    <w:name w:val=" Char"/>
    <w:basedOn w:val="1"/>
    <w:link w:val="6"/>
    <w:uiPriority w:val="0"/>
    <w:pPr>
      <w:widowControl/>
      <w:spacing w:after="160" w:line="240" w:lineRule="exact"/>
      <w:jc w:val="left"/>
    </w:pPr>
    <w:rPr>
      <w:rFonts w:eastAsia="宋体"/>
      <w:sz w:val="21"/>
      <w:szCs w:val="20"/>
    </w:rPr>
  </w:style>
  <w:style w:type="character" w:styleId="8">
    <w:name w:val="page number"/>
    <w:basedOn w:val="6"/>
    <w:semiHidden/>
    <w:unhideWhenUsed/>
    <w:uiPriority w:val="0"/>
    <w:rPr/>
  </w:style>
  <w:style w:type="paragraph" w:customStyle="1" w:styleId="9">
    <w:name w:val="List Paragraph"/>
    <w:basedOn w:val="1"/>
    <w:qFormat/>
    <w:uiPriority w:val="99"/>
    <w:pPr>
      <w:ind w:firstLine="420" w:firstLineChars="200"/>
    </w:pPr>
  </w:style>
  <w:style w:type="paragraph" w:customStyle="1" w:styleId="10">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6"/>
    <w:link w:val="5"/>
    <w:uiPriority w:val="99"/>
    <w:rPr>
      <w:rFonts w:cs="Times New Roman"/>
      <w:sz w:val="18"/>
      <w:szCs w:val="18"/>
    </w:rPr>
  </w:style>
  <w:style w:type="character" w:customStyle="1" w:styleId="12">
    <w:name w:val="页脚 Char Char"/>
    <w:basedOn w:val="6"/>
    <w:link w:val="4"/>
    <w:uiPriority w:val="99"/>
    <w:rPr>
      <w:rFonts w:cs="Times New Roman"/>
      <w:sz w:val="18"/>
      <w:szCs w:val="18"/>
    </w:rPr>
  </w:style>
  <w:style w:type="character" w:customStyle="1" w:styleId="13">
    <w:name w:val="日期 Char Char"/>
    <w:basedOn w:val="6"/>
    <w:link w:val="3"/>
    <w:uiPriority w:val="99"/>
    <w:rPr>
      <w:rFonts w:cs="Times New Roman"/>
    </w:rPr>
  </w:style>
  <w:style w:type="character" w:customStyle="1" w:styleId="14">
    <w:name w:val="标题 5 Char Char"/>
    <w:basedOn w:val="6"/>
    <w:link w:val="2"/>
    <w:uiPriority w:val="9"/>
    <w:rPr>
      <w:rFonts w:ascii="宋体" w:hAnsi="宋体" w:cs="宋体"/>
      <w:b/>
      <w:bCs/>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梨树县水政监察大队</cp:lastModifiedBy>
  <cp:lastPrinted>2019-04-13T09:33:00Z</cp:lastPrinted>
  <dcterms:modified xsi:type="dcterms:W3CDTF">2022-09-07T07:24:18Z</dcterms:modified>
  <dc:title>梨树县XXX局</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